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9"/>
        <w:gridCol w:w="983"/>
      </w:tblGrid>
      <w:tr w:rsidR="002A24EB" w:rsidTr="003029B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2A24EB">
            <w:pPr>
              <w:spacing w:after="0"/>
              <w:rPr>
                <w:rFonts w:ascii="Tahoma" w:eastAsia="Times New Roman" w:hAnsi="Tahoma" w:cs="Tahoma"/>
                <w:sz w:val="14"/>
                <w:szCs w:val="14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Приложение № 1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к Приказу Министерства финансов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Российской Федерации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02.07.2010 № 66</w:t>
            </w:r>
            <w:proofErr w:type="gramStart"/>
            <w:r>
              <w:rPr>
                <w:rFonts w:ascii="Tahoma" w:eastAsia="Times New Roman" w:hAnsi="Tahoma" w:cs="Tahoma"/>
                <w:sz w:val="14"/>
                <w:szCs w:val="14"/>
              </w:rPr>
              <w:t>н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( в</w:t>
            </w:r>
            <w:proofErr w:type="gramEnd"/>
            <w:r>
              <w:rPr>
                <w:rFonts w:ascii="Tahoma" w:eastAsia="Times New Roman" w:hAnsi="Tahoma" w:cs="Tahoma"/>
                <w:sz w:val="14"/>
                <w:szCs w:val="14"/>
              </w:rPr>
              <w:t xml:space="preserve"> ред. Приказа Минфина РФ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05.10.2011 № 124н)</w:t>
            </w:r>
          </w:p>
        </w:tc>
      </w:tr>
      <w:tr w:rsidR="002A24EB" w:rsidTr="003029B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Отчет о финансовых результатах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9"/>
            </w:tblGrid>
            <w:tr w:rsidR="002A24EB" w:rsidTr="003029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69"/>
                  </w:tblGrid>
                  <w:tr w:rsidR="002A24EB" w:rsidTr="003029B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A24EB" w:rsidRDefault="002A24EB" w:rsidP="003029B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u w:val="single"/>
                          </w:rPr>
                          <w:t>за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u w:val="single"/>
                          </w:rPr>
                          <w:t xml:space="preserve"> 2013 г.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2A24EB" w:rsidRDefault="002A24EB" w:rsidP="003029B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0710002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Дата (число, месяц, год)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17 3 2014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5"/>
              <w:gridCol w:w="6413"/>
              <w:gridCol w:w="781"/>
            </w:tblGrid>
            <w:tr w:rsidR="002A24EB" w:rsidTr="003029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Общество с ограниченной ответственностью "Уют"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ОКПО</w:t>
                  </w:r>
                </w:p>
              </w:tc>
            </w:tr>
          </w:tbl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88590143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7"/>
              <w:gridCol w:w="88"/>
              <w:gridCol w:w="404"/>
            </w:tblGrid>
            <w:tr w:rsidR="002A24EB" w:rsidTr="003029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ИНН</w:t>
                  </w:r>
                </w:p>
              </w:tc>
            </w:tr>
          </w:tbl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5212510267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6039"/>
              <w:gridCol w:w="613"/>
            </w:tblGrid>
            <w:tr w:rsidR="002A24EB" w:rsidTr="003029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Вид экономической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деятельности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Управление эксплуатацией жилого фонда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ОКВЭД</w:t>
                  </w:r>
                </w:p>
              </w:tc>
            </w:tr>
          </w:tbl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70.32.1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4"/>
              <w:gridCol w:w="2180"/>
              <w:gridCol w:w="1505"/>
            </w:tblGrid>
            <w:tr w:rsidR="002A24EB" w:rsidTr="003029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Организационно-правовая форма / форма собственности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Общества с ограниченной ответственностью/Частная собственность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ОКОПФ / ОКФС</w:t>
                  </w:r>
                </w:p>
              </w:tc>
            </w:tr>
          </w:tbl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65 / 16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2"/>
              <w:gridCol w:w="134"/>
              <w:gridCol w:w="753"/>
            </w:tblGrid>
            <w:tr w:rsidR="002A24EB" w:rsidTr="003029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A24EB" w:rsidRDefault="002A24EB" w:rsidP="003029B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ОКЕИ</w:t>
                  </w:r>
                </w:p>
              </w:tc>
            </w:tr>
          </w:tbl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384</w:t>
            </w:r>
          </w:p>
        </w:tc>
      </w:tr>
    </w:tbl>
    <w:p w:rsidR="002A24EB" w:rsidRDefault="002A24EB" w:rsidP="002A24E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5130"/>
        <w:gridCol w:w="466"/>
        <w:gridCol w:w="1399"/>
        <w:gridCol w:w="1399"/>
      </w:tblGrid>
      <w:tr w:rsidR="002A24EB" w:rsidTr="003029B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Отчет_о_финансовых_результатах"/>
            <w:bookmarkEnd w:id="0"/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Поясне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ния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Выручка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5 844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5 391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4 684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5 311</w:t>
            </w:r>
          </w:p>
        </w:tc>
      </w:tr>
      <w:tr w:rsidR="002A24EB" w:rsidTr="003029BB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Валовая прибыль (убыток)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1 160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80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2A24EB" w:rsidTr="003029BB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2A24EB" w:rsidTr="003029BB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1 160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80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2A24EB" w:rsidTr="003029BB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74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497</w:t>
            </w:r>
          </w:p>
        </w:tc>
      </w:tr>
      <w:tr w:rsidR="002A24EB" w:rsidTr="003029BB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(343)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57</w:t>
            </w:r>
          </w:p>
        </w:tc>
      </w:tr>
      <w:tr w:rsidR="002A24EB" w:rsidTr="003029BB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т.ч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 постоянные налоговые обязательства (активы)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(400)</w:t>
            </w:r>
          </w:p>
        </w:tc>
      </w:tr>
    </w:tbl>
    <w:p w:rsidR="002A24EB" w:rsidRDefault="002A24EB" w:rsidP="002A24EB">
      <w:pPr>
        <w:pStyle w:val="z-1"/>
      </w:pPr>
      <w:r>
        <w:t>Конец формы</w:t>
      </w:r>
    </w:p>
    <w:p w:rsidR="002A24EB" w:rsidRDefault="002A24EB" w:rsidP="002A24E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5130"/>
        <w:gridCol w:w="466"/>
        <w:gridCol w:w="1399"/>
        <w:gridCol w:w="1399"/>
      </w:tblGrid>
      <w:tr w:rsidR="002A24EB" w:rsidTr="003029B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2A24EB" w:rsidRDefault="002A24EB" w:rsidP="003029B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Форма 0710002 с. 2</w:t>
            </w:r>
          </w:p>
        </w:tc>
      </w:tr>
      <w:tr w:rsidR="002A24EB" w:rsidTr="003029B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Поясне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ния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A24EB" w:rsidTr="003029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СПРАВОЧНО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 от переоценки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активов,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включаемый в чистую прибыль (убыток)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Результат от прочих операций, не включаемый 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чистую прибыль (убыток)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Совокупный финансовый результат периода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(400)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A24EB" w:rsidTr="003029B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2A24EB" w:rsidRDefault="002A24EB" w:rsidP="002A24EB">
      <w:pPr>
        <w:pStyle w:val="z-1"/>
      </w:pPr>
      <w:r>
        <w:t>Конец формы</w:t>
      </w:r>
    </w:p>
    <w:tbl>
      <w:tblPr>
        <w:tblW w:w="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97"/>
        <w:gridCol w:w="809"/>
        <w:gridCol w:w="97"/>
        <w:gridCol w:w="1985"/>
        <w:gridCol w:w="97"/>
        <w:gridCol w:w="866"/>
        <w:gridCol w:w="97"/>
        <w:gridCol w:w="809"/>
        <w:gridCol w:w="97"/>
        <w:gridCol w:w="1985"/>
      </w:tblGrid>
      <w:tr w:rsidR="002A24EB" w:rsidTr="003029B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A24EB" w:rsidTr="003029B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A24EB" w:rsidTr="003029BB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Лукашевич О.В.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Главный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A24EB" w:rsidTr="0030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подпись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расшифровка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подпись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расшифровка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подписи)</w:t>
            </w:r>
          </w:p>
        </w:tc>
      </w:tr>
      <w:tr w:rsidR="002A24EB" w:rsidTr="003029B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марта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 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A24EB" w:rsidRDefault="002A24EB" w:rsidP="003029B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A24EB" w:rsidRDefault="002A24EB" w:rsidP="002A24EB">
      <w:pPr>
        <w:spacing w:after="0"/>
        <w:rPr>
          <w:rFonts w:eastAsia="Times New Roman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Примечания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2. В соответствии с Положением по бухгалтерскому учету "Бухгалтерская отчетность организации" ПБУ 4/99, утвержденным Приказом 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Министерства финансов Российской Федерации от 6 июля 1999 г. № 43н (по заключению Министерства юстиции Российской Федерации № 6417-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ПК от 6 августа 1999 г. указанным Приказ в государственной регистрации не нуждается), показатели об отдельных активах, обязательствах могут 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proofErr w:type="gramStart"/>
      <w:r>
        <w:rPr>
          <w:rFonts w:ascii="Tahoma" w:eastAsia="Times New Roman" w:hAnsi="Tahoma" w:cs="Tahoma"/>
          <w:sz w:val="14"/>
          <w:szCs w:val="14"/>
        </w:rPr>
        <w:t>приводиться</w:t>
      </w:r>
      <w:proofErr w:type="gramEnd"/>
      <w:r>
        <w:rPr>
          <w:rFonts w:ascii="Tahoma" w:eastAsia="Times New Roman" w:hAnsi="Tahoma" w:cs="Tahoma"/>
          <w:sz w:val="14"/>
          <w:szCs w:val="14"/>
        </w:rPr>
        <w:t xml:space="preserve"> в отчете о прибылях и убытках общей суммой с раскрытием в пояснениях к отчету о прибылях и убытках, если каждый из этих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proofErr w:type="gramStart"/>
      <w:r>
        <w:rPr>
          <w:rFonts w:ascii="Tahoma" w:eastAsia="Times New Roman" w:hAnsi="Tahoma" w:cs="Tahoma"/>
          <w:sz w:val="14"/>
          <w:szCs w:val="14"/>
        </w:rPr>
        <w:t>показателей</w:t>
      </w:r>
      <w:proofErr w:type="gramEnd"/>
      <w:r>
        <w:rPr>
          <w:rFonts w:ascii="Tahoma" w:eastAsia="Times New Roman" w:hAnsi="Tahoma" w:cs="Tahoma"/>
          <w:sz w:val="14"/>
          <w:szCs w:val="14"/>
        </w:rPr>
        <w:t xml:space="preserve"> в отдельности несущественен для оценки заинтересованными пользователями финансового положения организации или 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proofErr w:type="gramStart"/>
      <w:r>
        <w:rPr>
          <w:rFonts w:ascii="Tahoma" w:eastAsia="Times New Roman" w:hAnsi="Tahoma" w:cs="Tahoma"/>
          <w:sz w:val="14"/>
          <w:szCs w:val="14"/>
        </w:rPr>
        <w:t>финансовых</w:t>
      </w:r>
      <w:proofErr w:type="gramEnd"/>
      <w:r>
        <w:rPr>
          <w:rFonts w:ascii="Tahoma" w:eastAsia="Times New Roman" w:hAnsi="Tahoma" w:cs="Tahoma"/>
          <w:sz w:val="14"/>
          <w:szCs w:val="14"/>
        </w:rPr>
        <w:t xml:space="preserve"> результатов ее деятельности.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3. Указывается отчетный период.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4. Указывается период предыдущего года, аналогичный отчетному периоду.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5. Выручка отражается за минусом налога на добавленную стоимость, акцизов.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6. Совокупный финансовый результат периода определяется как сумма строк "Чистая прибыль (убыток)", "Результат от переоценки 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proofErr w:type="spellStart"/>
      <w:proofErr w:type="gramStart"/>
      <w:r>
        <w:rPr>
          <w:rFonts w:ascii="Tahoma" w:eastAsia="Times New Roman" w:hAnsi="Tahoma" w:cs="Tahoma"/>
          <w:sz w:val="14"/>
          <w:szCs w:val="14"/>
        </w:rPr>
        <w:t>внеоборотных</w:t>
      </w:r>
      <w:proofErr w:type="spellEnd"/>
      <w:proofErr w:type="gramEnd"/>
      <w:r>
        <w:rPr>
          <w:rFonts w:ascii="Tahoma" w:eastAsia="Times New Roman" w:hAnsi="Tahoma" w:cs="Tahoma"/>
          <w:sz w:val="14"/>
          <w:szCs w:val="14"/>
        </w:rPr>
        <w:t xml:space="preserve"> активов, не включаемый в чистую прибыль (убыток) периода" и "Результат от прочих операций, не включаемый в чистую прибыль </w:t>
      </w:r>
    </w:p>
    <w:p w:rsidR="002A24EB" w:rsidRDefault="002A24EB" w:rsidP="002A24EB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(</w:t>
      </w:r>
      <w:proofErr w:type="gramStart"/>
      <w:r>
        <w:rPr>
          <w:rFonts w:ascii="Tahoma" w:eastAsia="Times New Roman" w:hAnsi="Tahoma" w:cs="Tahoma"/>
          <w:sz w:val="14"/>
          <w:szCs w:val="14"/>
        </w:rPr>
        <w:t>убыток</w:t>
      </w:r>
      <w:proofErr w:type="gramEnd"/>
      <w:r>
        <w:rPr>
          <w:rFonts w:ascii="Tahoma" w:eastAsia="Times New Roman" w:hAnsi="Tahoma" w:cs="Tahoma"/>
          <w:sz w:val="14"/>
          <w:szCs w:val="14"/>
        </w:rPr>
        <w:t>) отчетного периода".</w:t>
      </w:r>
    </w:p>
    <w:p w:rsidR="00443092" w:rsidRDefault="00443092"/>
    <w:sectPr w:rsidR="00443092" w:rsidSect="002A24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EB"/>
    <w:rsid w:val="002A24EB"/>
    <w:rsid w:val="0044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E2F11-E212-477E-92E0-04E81C96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rcell">
    <w:name w:val="atr_cell"/>
    <w:basedOn w:val="a"/>
    <w:rsid w:val="002A24E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2A24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2A24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2A24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">
    <w:name w:val="integer"/>
    <w:basedOn w:val="a"/>
    <w:rsid w:val="002A24E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2A24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2A24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">
    <w:name w:val="money"/>
    <w:basedOn w:val="a"/>
    <w:rsid w:val="002A24E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calc">
    <w:name w:val="moneycalc"/>
    <w:basedOn w:val="a"/>
    <w:rsid w:val="002A24E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int">
    <w:name w:val="moneyint"/>
    <w:basedOn w:val="a"/>
    <w:rsid w:val="002A24E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intcalc">
    <w:name w:val="moneyintcalc"/>
    <w:basedOn w:val="a"/>
    <w:rsid w:val="002A24E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2A24EB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inter">
    <w:name w:val="printer"/>
    <w:basedOn w:val="a0"/>
    <w:rsid w:val="002A24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24EB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24EB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24EB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24EB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ГлБух</cp:lastModifiedBy>
  <cp:revision>1</cp:revision>
  <dcterms:created xsi:type="dcterms:W3CDTF">2014-03-31T11:35:00Z</dcterms:created>
  <dcterms:modified xsi:type="dcterms:W3CDTF">2014-03-31T11:39:00Z</dcterms:modified>
</cp:coreProperties>
</file>